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建筑安装工程综合指数走势图</w:t>
      </w:r>
    </w:p>
    <w:p>
      <w:pPr>
        <w:spacing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inline distT="0" distB="0" distL="114300" distR="114300">
            <wp:extent cx="8860790" cy="4020820"/>
            <wp:effectExtent l="5080" t="4445" r="11430" b="1333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主要调价因子价格指数走势图（一）</w:t>
      </w:r>
    </w:p>
    <w:p>
      <w:pPr>
        <w:spacing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inline distT="0" distB="0" distL="114300" distR="114300">
            <wp:extent cx="8811260" cy="4664710"/>
            <wp:effectExtent l="4445" t="4445" r="23495" b="1714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spacing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主要调价因子价格指数走势图（二）</w:t>
      </w:r>
    </w:p>
    <w:p>
      <w:pPr>
        <w:spacing w:after="156" w:afterLines="50"/>
        <w:jc w:val="center"/>
      </w:pPr>
      <w:r>
        <w:rPr>
          <w:rFonts w:hint="eastAsia" w:ascii="仿宋" w:hAnsi="仿宋" w:eastAsia="仿宋"/>
          <w:b/>
          <w:sz w:val="32"/>
          <w:szCs w:val="32"/>
        </w:rPr>
        <w:drawing>
          <wp:inline distT="0" distB="0" distL="114300" distR="114300">
            <wp:extent cx="8792210" cy="4710430"/>
            <wp:effectExtent l="4445" t="4445" r="23495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dit="forms" w:enforcement="1" w:cryptProviderType="rsaFull" w:cryptAlgorithmClass="hash" w:cryptAlgorithmType="typeAny" w:cryptAlgorithmSid="4" w:cryptSpinCount="0" w:hash="UDpE2Lu7HsXXXbsv7tNGP2CpbM8=" w:salt="NrRXcCsaS9Qvxe7iv7Y9A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yMWUxODY1Mjk0MTUwMzkyNjFlMTNiMDExMzFkYjEifQ=="/>
  </w:docVars>
  <w:rsids>
    <w:rsidRoot w:val="00F617DC"/>
    <w:rsid w:val="00053789"/>
    <w:rsid w:val="000701C5"/>
    <w:rsid w:val="000C380B"/>
    <w:rsid w:val="000D26AD"/>
    <w:rsid w:val="001D76EC"/>
    <w:rsid w:val="001F4D3F"/>
    <w:rsid w:val="00245976"/>
    <w:rsid w:val="00267E1F"/>
    <w:rsid w:val="00295CE5"/>
    <w:rsid w:val="002F67DE"/>
    <w:rsid w:val="002F7994"/>
    <w:rsid w:val="00331B2E"/>
    <w:rsid w:val="00332A6D"/>
    <w:rsid w:val="003747C1"/>
    <w:rsid w:val="00402057"/>
    <w:rsid w:val="004759DF"/>
    <w:rsid w:val="004C46F1"/>
    <w:rsid w:val="004C4A18"/>
    <w:rsid w:val="004C6C17"/>
    <w:rsid w:val="005026FC"/>
    <w:rsid w:val="00516642"/>
    <w:rsid w:val="00596492"/>
    <w:rsid w:val="005B3874"/>
    <w:rsid w:val="005E49EA"/>
    <w:rsid w:val="005F5A4D"/>
    <w:rsid w:val="0061136F"/>
    <w:rsid w:val="00654D97"/>
    <w:rsid w:val="0075196A"/>
    <w:rsid w:val="00757E19"/>
    <w:rsid w:val="007B1C5F"/>
    <w:rsid w:val="008358A9"/>
    <w:rsid w:val="0085109E"/>
    <w:rsid w:val="00894AB6"/>
    <w:rsid w:val="008963B2"/>
    <w:rsid w:val="008A0A34"/>
    <w:rsid w:val="008D01C0"/>
    <w:rsid w:val="00A32048"/>
    <w:rsid w:val="00AF2EDB"/>
    <w:rsid w:val="00B07517"/>
    <w:rsid w:val="00B67451"/>
    <w:rsid w:val="00BC6814"/>
    <w:rsid w:val="00C20036"/>
    <w:rsid w:val="00C8378A"/>
    <w:rsid w:val="00CD4CAC"/>
    <w:rsid w:val="00D0323C"/>
    <w:rsid w:val="00D31AF5"/>
    <w:rsid w:val="00D833FF"/>
    <w:rsid w:val="00D9706F"/>
    <w:rsid w:val="00DF2D6F"/>
    <w:rsid w:val="00E024DD"/>
    <w:rsid w:val="00E67CBB"/>
    <w:rsid w:val="00E86E60"/>
    <w:rsid w:val="00EB19F4"/>
    <w:rsid w:val="00F23A2E"/>
    <w:rsid w:val="00F335A0"/>
    <w:rsid w:val="00F354C2"/>
    <w:rsid w:val="00F52280"/>
    <w:rsid w:val="00F555C3"/>
    <w:rsid w:val="00F617DC"/>
    <w:rsid w:val="00F74FA6"/>
    <w:rsid w:val="00FB2C6E"/>
    <w:rsid w:val="00FF5893"/>
    <w:rsid w:val="114E42E8"/>
    <w:rsid w:val="2A134BEC"/>
    <w:rsid w:val="40452BA7"/>
    <w:rsid w:val="42DB4D8E"/>
    <w:rsid w:val="71E83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494;&#20113;&#21516;&#27493;&#30424;\&#24037;&#20316;\8&#20215;&#26684;&#25351;&#25968;\2&#24180;&#24230;&#25351;&#25968;&#24037;&#20316;\2023&#24180;&#19978;&#21322;&#24180;\&#26368;&#32456;&#25104;&#26524;\2023&#24180;&#19978;&#21322;&#241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494;&#20113;&#21516;&#27493;&#30424;\&#24037;&#20316;\8&#20215;&#26684;&#25351;&#25968;\2&#24180;&#24230;&#25351;&#25968;&#24037;&#20316;\2023&#24180;&#19978;&#21322;&#24180;\&#26368;&#32456;&#25104;&#26524;\2023&#24180;&#19978;&#21322;&#241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4494;&#20113;&#21516;&#27493;&#30424;\&#24037;&#20316;\8&#20215;&#26684;&#25351;&#25968;\2&#24180;&#24230;&#25351;&#25968;&#24037;&#20316;\2023&#24180;&#19978;&#21322;&#24180;\&#26368;&#32456;&#25104;&#26524;\2023&#24180;&#19978;&#21322;&#241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[2023年上半年.xlsx]单项价格指数!$B$25</c:f>
              <c:strCache>
                <c:ptCount val="1"/>
                <c:pt idx="0">
                  <c:v>建筑安装工程综合指数走势图</c:v>
                </c:pt>
              </c:strCache>
            </c:strRef>
          </c:tx>
          <c:dLbls>
            <c:dLbl>
              <c:idx val="9"/>
              <c:layout>
                <c:manualLayout>
                  <c:x val="-0.00781138024939086"/>
                  <c:y val="0.02147820593809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0.0098179733409775"/>
                  <c:y val="-0.02590018951358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00293822559839473"/>
                  <c:y val="-0.0236891977258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0.00293822559839473"/>
                  <c:y val="0.0236891977258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[2023年上半年.xlsx]单项价格指数!$C$24:$R$24</c:f>
              <c:strCache>
                <c:ptCount val="16"/>
                <c:pt idx="0">
                  <c:v>基期</c:v>
                </c:pt>
                <c:pt idx="1">
                  <c:v>2016年
上半年</c:v>
                </c:pt>
                <c:pt idx="2">
                  <c:v>2016年
下半年</c:v>
                </c:pt>
                <c:pt idx="3">
                  <c:v>2017年
上半年</c:v>
                </c:pt>
                <c:pt idx="4">
                  <c:v>2017年
下半年</c:v>
                </c:pt>
                <c:pt idx="5">
                  <c:v>2018年
上半年</c:v>
                </c:pt>
                <c:pt idx="6">
                  <c:v>2018年
下半年</c:v>
                </c:pt>
                <c:pt idx="7">
                  <c:v>2019年
上半年</c:v>
                </c:pt>
                <c:pt idx="8">
                  <c:v>2019年
下半年</c:v>
                </c:pt>
                <c:pt idx="9">
                  <c:v>2020年
上半年</c:v>
                </c:pt>
                <c:pt idx="10">
                  <c:v>2020年
下半年</c:v>
                </c:pt>
                <c:pt idx="11">
                  <c:v>2021年
上半年</c:v>
                </c:pt>
                <c:pt idx="12">
                  <c:v>2021年
下半年</c:v>
                </c:pt>
                <c:pt idx="13">
                  <c:v>2022年
上半年</c:v>
                </c:pt>
                <c:pt idx="14">
                  <c:v>2022年
下半年</c:v>
                </c:pt>
                <c:pt idx="15">
                  <c:v>2023年
上半年</c:v>
                </c:pt>
              </c:strCache>
            </c:strRef>
          </c:cat>
          <c:val>
            <c:numRef>
              <c:f>[2023年上半年.xlsx]单项价格指数!$C$25:$R$25</c:f>
              <c:numCache>
                <c:formatCode>0.00_);[Red]\(0.00\)</c:formatCode>
                <c:ptCount val="16"/>
                <c:pt idx="0">
                  <c:v>100</c:v>
                </c:pt>
                <c:pt idx="1">
                  <c:v>101.61</c:v>
                </c:pt>
                <c:pt idx="2">
                  <c:v>105.48</c:v>
                </c:pt>
                <c:pt idx="3">
                  <c:v>112.77</c:v>
                </c:pt>
                <c:pt idx="4">
                  <c:v>116.6</c:v>
                </c:pt>
                <c:pt idx="5">
                  <c:v>118.79</c:v>
                </c:pt>
                <c:pt idx="6">
                  <c:v>121.72</c:v>
                </c:pt>
                <c:pt idx="7">
                  <c:v>119.65</c:v>
                </c:pt>
                <c:pt idx="8">
                  <c:v>118.3</c:v>
                </c:pt>
                <c:pt idx="9">
                  <c:v>116.64</c:v>
                </c:pt>
                <c:pt idx="10">
                  <c:v>117.09</c:v>
                </c:pt>
                <c:pt idx="11">
                  <c:v>124.09</c:v>
                </c:pt>
                <c:pt idx="12">
                  <c:v>129.9</c:v>
                </c:pt>
                <c:pt idx="13">
                  <c:v>130.01</c:v>
                </c:pt>
                <c:pt idx="14">
                  <c:v>129.46</c:v>
                </c:pt>
                <c:pt idx="15">
                  <c:v>127.24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0277376"/>
        <c:axId val="371655424"/>
      </c:lineChart>
      <c:catAx>
        <c:axId val="3702773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1655424"/>
        <c:crosses val="autoZero"/>
        <c:auto val="1"/>
        <c:lblAlgn val="ctr"/>
        <c:lblOffset val="100"/>
        <c:noMultiLvlLbl val="0"/>
      </c:catAx>
      <c:valAx>
        <c:axId val="371655424"/>
        <c:scaling>
          <c:orientation val="minMax"/>
          <c:min val="100"/>
        </c:scaling>
        <c:delete val="0"/>
        <c:axPos val="l"/>
        <c:majorGridlines/>
        <c:numFmt formatCode="0.00_);[Red]\(0.00\)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0277376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[2023年上半年.xlsx]单项价格指数!$B$27</c:f>
              <c:strCache>
                <c:ptCount val="1"/>
                <c:pt idx="0">
                  <c:v>人工</c:v>
                </c:pt>
              </c:strCache>
            </c:strRef>
          </c:tx>
          <c:dLbls>
            <c:dLbl>
              <c:idx val="1"/>
              <c:layout>
                <c:manualLayout>
                  <c:x val="-0.0166474488325166"/>
                  <c:y val="-0.027906343588347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06111271259729"/>
                  <c:y val="-0.04274435066702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83395791294321"/>
                  <c:y val="-0.03539341138034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6520611127126"/>
                  <c:y val="-0.02600054451402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412943211300086"/>
                  <c:y val="-0.029812142662673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45257999423465"/>
                  <c:y val="-0.044650149741355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314932257134621"/>
                  <c:y val="-0.02600054451402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374027097146152"/>
                  <c:y val="-0.03716308194936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235658691265494"/>
                  <c:y val="-0.02953988565205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383395791294321"/>
                  <c:y val="-0.0352572828750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0275295474200058"/>
                  <c:y val="-0.03335148380070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0.0304122225425195"/>
                  <c:y val="-0.02600054451402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0.0175843182473335"/>
                  <c:y val="-0.02423087394500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[2023年上半年.xlsx]单项价格指数!$C$24:$R$24</c:f>
              <c:strCache>
                <c:ptCount val="16"/>
                <c:pt idx="0">
                  <c:v>基期</c:v>
                </c:pt>
                <c:pt idx="1">
                  <c:v>2016年
上半年</c:v>
                </c:pt>
                <c:pt idx="2">
                  <c:v>2016年
下半年</c:v>
                </c:pt>
                <c:pt idx="3">
                  <c:v>2017年
上半年</c:v>
                </c:pt>
                <c:pt idx="4">
                  <c:v>2017年
下半年</c:v>
                </c:pt>
                <c:pt idx="5">
                  <c:v>2018年
上半年</c:v>
                </c:pt>
                <c:pt idx="6">
                  <c:v>2018年
下半年</c:v>
                </c:pt>
                <c:pt idx="7">
                  <c:v>2019年
上半年</c:v>
                </c:pt>
                <c:pt idx="8">
                  <c:v>2019年
下半年</c:v>
                </c:pt>
                <c:pt idx="9">
                  <c:v>2020年
上半年</c:v>
                </c:pt>
                <c:pt idx="10">
                  <c:v>2020年
下半年</c:v>
                </c:pt>
                <c:pt idx="11">
                  <c:v>2021年
上半年</c:v>
                </c:pt>
                <c:pt idx="12">
                  <c:v>2021年
下半年</c:v>
                </c:pt>
                <c:pt idx="13">
                  <c:v>2022年
上半年</c:v>
                </c:pt>
                <c:pt idx="14">
                  <c:v>2022年
下半年</c:v>
                </c:pt>
                <c:pt idx="15">
                  <c:v>2023年
上半年</c:v>
                </c:pt>
              </c:strCache>
            </c:strRef>
          </c:cat>
          <c:val>
            <c:numRef>
              <c:f>[2023年上半年.xlsx]单项价格指数!$C$27:$R$27</c:f>
              <c:numCache>
                <c:formatCode>0.00_);[Red]\(0.00\)</c:formatCode>
                <c:ptCount val="16"/>
                <c:pt idx="0">
                  <c:v>100</c:v>
                </c:pt>
                <c:pt idx="1">
                  <c:v>102.24309357605</c:v>
                </c:pt>
                <c:pt idx="2">
                  <c:v>102.81</c:v>
                </c:pt>
                <c:pt idx="3">
                  <c:v>104.91</c:v>
                </c:pt>
                <c:pt idx="4">
                  <c:v>107.46</c:v>
                </c:pt>
                <c:pt idx="5">
                  <c:v>108.63</c:v>
                </c:pt>
                <c:pt idx="6">
                  <c:v>111.790989631939</c:v>
                </c:pt>
                <c:pt idx="7">
                  <c:v>114.352753914638</c:v>
                </c:pt>
                <c:pt idx="8">
                  <c:v>114.901679602487</c:v>
                </c:pt>
                <c:pt idx="9">
                  <c:v>119.035794536014</c:v>
                </c:pt>
                <c:pt idx="10">
                  <c:v>119.660366008544</c:v>
                </c:pt>
                <c:pt idx="11">
                  <c:v>123.816732690883</c:v>
                </c:pt>
                <c:pt idx="12">
                  <c:v>124.528390819916</c:v>
                </c:pt>
                <c:pt idx="13">
                  <c:v>127.071171475616</c:v>
                </c:pt>
                <c:pt idx="14">
                  <c:v>127.612453922108</c:v>
                </c:pt>
                <c:pt idx="15">
                  <c:v>129.675418333981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[2023年上半年.xlsx]单项价格指数!$B$28</c:f>
              <c:strCache>
                <c:ptCount val="1"/>
                <c:pt idx="0">
                  <c:v>施工机械折旧</c:v>
                </c:pt>
              </c:strCache>
            </c:strRef>
          </c:tx>
          <c:dLbls>
            <c:dLbl>
              <c:idx val="4"/>
              <c:layout>
                <c:manualLayout>
                  <c:x val="-0.00691842029403286"/>
                  <c:y val="-0.01864960522733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288267512251369"/>
                  <c:y val="0.009256738361012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0295474200057654"/>
                  <c:y val="-0.01116253743533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0.0137647737100029"/>
                  <c:y val="-0.02041927579635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00490054770827328"/>
                  <c:y val="0.01306833650966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0.00785528970884981"/>
                  <c:y val="-0.016743806153008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0.00295474200057654"/>
                  <c:y val="0.02218894636536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[2023年上半年.xlsx]单项价格指数!$C$24:$R$24</c:f>
              <c:strCache>
                <c:ptCount val="16"/>
                <c:pt idx="0">
                  <c:v>基期</c:v>
                </c:pt>
                <c:pt idx="1">
                  <c:v>2016年
上半年</c:v>
                </c:pt>
                <c:pt idx="2">
                  <c:v>2016年
下半年</c:v>
                </c:pt>
                <c:pt idx="3">
                  <c:v>2017年
上半年</c:v>
                </c:pt>
                <c:pt idx="4">
                  <c:v>2017年
下半年</c:v>
                </c:pt>
                <c:pt idx="5">
                  <c:v>2018年
上半年</c:v>
                </c:pt>
                <c:pt idx="6">
                  <c:v>2018年
下半年</c:v>
                </c:pt>
                <c:pt idx="7">
                  <c:v>2019年
上半年</c:v>
                </c:pt>
                <c:pt idx="8">
                  <c:v>2019年
下半年</c:v>
                </c:pt>
                <c:pt idx="9">
                  <c:v>2020年
上半年</c:v>
                </c:pt>
                <c:pt idx="10">
                  <c:v>2020年
下半年</c:v>
                </c:pt>
                <c:pt idx="11">
                  <c:v>2021年
上半年</c:v>
                </c:pt>
                <c:pt idx="12">
                  <c:v>2021年
下半年</c:v>
                </c:pt>
                <c:pt idx="13">
                  <c:v>2022年
上半年</c:v>
                </c:pt>
                <c:pt idx="14">
                  <c:v>2022年
下半年</c:v>
                </c:pt>
                <c:pt idx="15">
                  <c:v>2023年
上半年</c:v>
                </c:pt>
              </c:strCache>
            </c:strRef>
          </c:cat>
          <c:val>
            <c:numRef>
              <c:f>[2023年上半年.xlsx]单项价格指数!$C$28:$R$28</c:f>
              <c:numCache>
                <c:formatCode>0.00_);[Red]\(0.00\)</c:formatCode>
                <c:ptCount val="16"/>
                <c:pt idx="0">
                  <c:v>100</c:v>
                </c:pt>
                <c:pt idx="1">
                  <c:v>99.2402227766196</c:v>
                </c:pt>
                <c:pt idx="2">
                  <c:v>100.86</c:v>
                </c:pt>
                <c:pt idx="3">
                  <c:v>99.77</c:v>
                </c:pt>
                <c:pt idx="4">
                  <c:v>101.05</c:v>
                </c:pt>
                <c:pt idx="5">
                  <c:v>100.92</c:v>
                </c:pt>
                <c:pt idx="6">
                  <c:v>101.914593259004</c:v>
                </c:pt>
                <c:pt idx="7">
                  <c:v>101.004547238589</c:v>
                </c:pt>
                <c:pt idx="8">
                  <c:v>102.086618901063</c:v>
                </c:pt>
                <c:pt idx="9">
                  <c:v>100.899429183874</c:v>
                </c:pt>
                <c:pt idx="10">
                  <c:v>101.549537580263</c:v>
                </c:pt>
                <c:pt idx="11">
                  <c:v>100.895398361218</c:v>
                </c:pt>
                <c:pt idx="12">
                  <c:v>102.694791287467</c:v>
                </c:pt>
                <c:pt idx="13">
                  <c:v>102.283339054366</c:v>
                </c:pt>
                <c:pt idx="14">
                  <c:v>103.008110638516</c:v>
                </c:pt>
                <c:pt idx="15">
                  <c:v>102.145622082256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[2023年上半年.xlsx]单项价格指数!$B$29</c:f>
              <c:strCache>
                <c:ptCount val="1"/>
                <c:pt idx="0">
                  <c:v>管理性费用</c:v>
                </c:pt>
              </c:strCache>
            </c:strRef>
          </c:tx>
          <c:dLbls>
            <c:dLbl>
              <c:idx val="7"/>
              <c:layout>
                <c:manualLayout>
                  <c:x val="-0.00295474200057654"/>
                  <c:y val="0.01864960522733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0590948400115307"/>
                  <c:y val="0.016743806153008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00194580570769674"/>
                  <c:y val="0.016743806153008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00295474200057654"/>
                  <c:y val="0.014838007078682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0.00295474200057654"/>
                  <c:y val="0.02041927579635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0"/>
                  <c:y val="-0.031581813231690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[2023年上半年.xlsx]单项价格指数!$C$24:$R$24</c:f>
              <c:strCache>
                <c:ptCount val="16"/>
                <c:pt idx="0">
                  <c:v>基期</c:v>
                </c:pt>
                <c:pt idx="1">
                  <c:v>2016年
上半年</c:v>
                </c:pt>
                <c:pt idx="2">
                  <c:v>2016年
下半年</c:v>
                </c:pt>
                <c:pt idx="3">
                  <c:v>2017年
上半年</c:v>
                </c:pt>
                <c:pt idx="4">
                  <c:v>2017年
下半年</c:v>
                </c:pt>
                <c:pt idx="5">
                  <c:v>2018年
上半年</c:v>
                </c:pt>
                <c:pt idx="6">
                  <c:v>2018年
下半年</c:v>
                </c:pt>
                <c:pt idx="7">
                  <c:v>2019年
上半年</c:v>
                </c:pt>
                <c:pt idx="8">
                  <c:v>2019年
下半年</c:v>
                </c:pt>
                <c:pt idx="9">
                  <c:v>2020年
上半年</c:v>
                </c:pt>
                <c:pt idx="10">
                  <c:v>2020年
下半年</c:v>
                </c:pt>
                <c:pt idx="11">
                  <c:v>2021年
上半年</c:v>
                </c:pt>
                <c:pt idx="12">
                  <c:v>2021年
下半年</c:v>
                </c:pt>
                <c:pt idx="13">
                  <c:v>2022年
上半年</c:v>
                </c:pt>
                <c:pt idx="14">
                  <c:v>2022年
下半年</c:v>
                </c:pt>
                <c:pt idx="15">
                  <c:v>2023年
上半年</c:v>
                </c:pt>
              </c:strCache>
            </c:strRef>
          </c:cat>
          <c:val>
            <c:numRef>
              <c:f>[2023年上半年.xlsx]单项价格指数!$C$29:$R$29</c:f>
              <c:numCache>
                <c:formatCode>0.00_);[Red]\(0.00\)</c:formatCode>
                <c:ptCount val="16"/>
                <c:pt idx="0">
                  <c:v>100</c:v>
                </c:pt>
                <c:pt idx="1">
                  <c:v>101.632294893974</c:v>
                </c:pt>
                <c:pt idx="2">
                  <c:v>102.21</c:v>
                </c:pt>
                <c:pt idx="3">
                  <c:v>103.86</c:v>
                </c:pt>
                <c:pt idx="4">
                  <c:v>106.08</c:v>
                </c:pt>
                <c:pt idx="5">
                  <c:v>106.98</c:v>
                </c:pt>
                <c:pt idx="6">
                  <c:v>109.80640693245</c:v>
                </c:pt>
                <c:pt idx="7">
                  <c:v>111.905730605537</c:v>
                </c:pt>
                <c:pt idx="8">
                  <c:v>112.539066483229</c:v>
                </c:pt>
                <c:pt idx="9">
                  <c:v>115.723559617654</c:v>
                </c:pt>
                <c:pt idx="10">
                  <c:v>116.050779297599</c:v>
                </c:pt>
                <c:pt idx="11">
                  <c:v>119.501307886852</c:v>
                </c:pt>
                <c:pt idx="12">
                  <c:v>120.116816675081</c:v>
                </c:pt>
                <c:pt idx="13">
                  <c:v>122.390830514021</c:v>
                </c:pt>
                <c:pt idx="14">
                  <c:v>122.878782229839</c:v>
                </c:pt>
                <c:pt idx="15">
                  <c:v>124.18774088054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1673344"/>
        <c:axId val="371707904"/>
      </c:lineChart>
      <c:catAx>
        <c:axId val="37167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1707904"/>
        <c:crosses val="autoZero"/>
        <c:auto val="1"/>
        <c:lblAlgn val="ctr"/>
        <c:lblOffset val="100"/>
        <c:noMultiLvlLbl val="0"/>
      </c:catAx>
      <c:valAx>
        <c:axId val="371707904"/>
        <c:scaling>
          <c:orientation val="minMax"/>
          <c:min val="98"/>
        </c:scaling>
        <c:delete val="0"/>
        <c:axPos val="l"/>
        <c:majorGridlines/>
        <c:numFmt formatCode="0.00_);[Red]\(0.00\)" sourceLinked="1"/>
        <c:majorTickMark val="none"/>
        <c:minorTickMark val="none"/>
        <c:tickLblPos val="nextTo"/>
        <c:spPr>
          <a:ln w="9525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1673344"/>
        <c:crosses val="autoZero"/>
        <c:crossBetween val="midCat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[2023年上半年.xlsx]单项价格指数!$B$31</c:f>
              <c:strCache>
                <c:ptCount val="1"/>
                <c:pt idx="0">
                  <c:v>钢筋</c:v>
                </c:pt>
              </c:strCache>
            </c:strRef>
          </c:tx>
          <c:dLbls>
            <c:dLbl>
              <c:idx val="2"/>
              <c:layout>
                <c:manualLayout>
                  <c:x val="-0.0561172901921132"/>
                  <c:y val="-0.02022108385009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16669074100823"/>
                  <c:y val="-0.02210838500943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0.0403726708074534"/>
                  <c:y val="0.020221083850094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0"/>
                  <c:y val="0.02022108385009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[2023年上半年.xlsx]单项价格指数!$C$24:$R$24</c:f>
              <c:strCache>
                <c:ptCount val="16"/>
                <c:pt idx="0">
                  <c:v>基期</c:v>
                </c:pt>
                <c:pt idx="1">
                  <c:v>2016年
上半年</c:v>
                </c:pt>
                <c:pt idx="2">
                  <c:v>2016年
下半年</c:v>
                </c:pt>
                <c:pt idx="3">
                  <c:v>2017年
上半年</c:v>
                </c:pt>
                <c:pt idx="4">
                  <c:v>2017年
下半年</c:v>
                </c:pt>
                <c:pt idx="5">
                  <c:v>2018年
上半年</c:v>
                </c:pt>
                <c:pt idx="6">
                  <c:v>2018年
下半年</c:v>
                </c:pt>
                <c:pt idx="7">
                  <c:v>2019年
上半年</c:v>
                </c:pt>
                <c:pt idx="8">
                  <c:v>2019年
下半年</c:v>
                </c:pt>
                <c:pt idx="9">
                  <c:v>2020年
上半年</c:v>
                </c:pt>
                <c:pt idx="10">
                  <c:v>2020年
下半年</c:v>
                </c:pt>
                <c:pt idx="11">
                  <c:v>2021年
上半年</c:v>
                </c:pt>
                <c:pt idx="12">
                  <c:v>2021年
下半年</c:v>
                </c:pt>
                <c:pt idx="13">
                  <c:v>2022年
上半年</c:v>
                </c:pt>
                <c:pt idx="14">
                  <c:v>2022年
下半年</c:v>
                </c:pt>
                <c:pt idx="15">
                  <c:v>2023年
上半年</c:v>
                </c:pt>
              </c:strCache>
            </c:strRef>
          </c:cat>
          <c:val>
            <c:numRef>
              <c:f>[2023年上半年.xlsx]单项价格指数!$C$31:$R$31</c:f>
              <c:numCache>
                <c:formatCode>0.00_);[Red]\(0.00\)</c:formatCode>
                <c:ptCount val="16"/>
                <c:pt idx="0">
                  <c:v>100</c:v>
                </c:pt>
                <c:pt idx="1">
                  <c:v>105.307710729832</c:v>
                </c:pt>
                <c:pt idx="2">
                  <c:v>119.5</c:v>
                </c:pt>
                <c:pt idx="3">
                  <c:v>162.64</c:v>
                </c:pt>
                <c:pt idx="4">
                  <c:v>184</c:v>
                </c:pt>
                <c:pt idx="5">
                  <c:v>183.85</c:v>
                </c:pt>
                <c:pt idx="6">
                  <c:v>195.586580708982</c:v>
                </c:pt>
                <c:pt idx="7">
                  <c:v>182.884034248835</c:v>
                </c:pt>
                <c:pt idx="8">
                  <c:v>177.38594441701</c:v>
                </c:pt>
                <c:pt idx="9">
                  <c:v>169.172268100369</c:v>
                </c:pt>
                <c:pt idx="10">
                  <c:v>182.876573087159</c:v>
                </c:pt>
                <c:pt idx="11">
                  <c:v>218.427890983011</c:v>
                </c:pt>
                <c:pt idx="12">
                  <c:v>234.663760692074</c:v>
                </c:pt>
                <c:pt idx="13">
                  <c:v>210.34697880252</c:v>
                </c:pt>
                <c:pt idx="14">
                  <c:v>183.838569072099</c:v>
                </c:pt>
                <c:pt idx="15">
                  <c:v>181.3564703891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[2023年上半年.xlsx]单项价格指数!$B$32</c:f>
              <c:strCache>
                <c:ptCount val="1"/>
                <c:pt idx="0">
                  <c:v>水泥</c:v>
                </c:pt>
              </c:strCache>
            </c:strRef>
          </c:tx>
          <c:dLbls>
            <c:dLbl>
              <c:idx val="2"/>
              <c:layout>
                <c:manualLayout>
                  <c:x val="-0.00693341037122635"/>
                  <c:y val="0.01469398759773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59222880254225"/>
                  <c:y val="0.01469398759773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95392171024122"/>
                  <c:y val="-0.031275276354812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334392604362271"/>
                  <c:y val="-0.040442167700188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246280514227936"/>
                  <c:y val="-0.02938797519547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11844576050845"/>
                  <c:y val="-0.01833378269075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059222880254225"/>
                  <c:y val="0.018468589916419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0413837931532573"/>
                  <c:y val="-0.042194661633863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0.0216669074100823"/>
                  <c:y val="-0.021973577783769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0246280514227936"/>
                  <c:y val="0.01833378269075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0.0226780297558862"/>
                  <c:y val="0.021973577783769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0"/>
                  <c:y val="0.02938797519547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[2023年上半年.xlsx]单项价格指数!$C$24:$R$24</c:f>
              <c:strCache>
                <c:ptCount val="16"/>
                <c:pt idx="0">
                  <c:v>基期</c:v>
                </c:pt>
                <c:pt idx="1">
                  <c:v>2016年
上半年</c:v>
                </c:pt>
                <c:pt idx="2">
                  <c:v>2016年
下半年</c:v>
                </c:pt>
                <c:pt idx="3">
                  <c:v>2017年
上半年</c:v>
                </c:pt>
                <c:pt idx="4">
                  <c:v>2017年
下半年</c:v>
                </c:pt>
                <c:pt idx="5">
                  <c:v>2018年
上半年</c:v>
                </c:pt>
                <c:pt idx="6">
                  <c:v>2018年
下半年</c:v>
                </c:pt>
                <c:pt idx="7">
                  <c:v>2019年
上半年</c:v>
                </c:pt>
                <c:pt idx="8">
                  <c:v>2019年
下半年</c:v>
                </c:pt>
                <c:pt idx="9">
                  <c:v>2020年
上半年</c:v>
                </c:pt>
                <c:pt idx="10">
                  <c:v>2020年
下半年</c:v>
                </c:pt>
                <c:pt idx="11">
                  <c:v>2021年
上半年</c:v>
                </c:pt>
                <c:pt idx="12">
                  <c:v>2021年
下半年</c:v>
                </c:pt>
                <c:pt idx="13">
                  <c:v>2022年
上半年</c:v>
                </c:pt>
                <c:pt idx="14">
                  <c:v>2022年
下半年</c:v>
                </c:pt>
                <c:pt idx="15">
                  <c:v>2023年
上半年</c:v>
                </c:pt>
              </c:strCache>
            </c:strRef>
          </c:cat>
          <c:val>
            <c:numRef>
              <c:f>[2023年上半年.xlsx]单项价格指数!$C$32:$R$32</c:f>
              <c:numCache>
                <c:formatCode>0.00_);[Red]\(0.00\)</c:formatCode>
                <c:ptCount val="16"/>
                <c:pt idx="0">
                  <c:v>100</c:v>
                </c:pt>
                <c:pt idx="1">
                  <c:v>97.1977587298504</c:v>
                </c:pt>
                <c:pt idx="2">
                  <c:v>112</c:v>
                </c:pt>
                <c:pt idx="3">
                  <c:v>120.81</c:v>
                </c:pt>
                <c:pt idx="4">
                  <c:v>134.52</c:v>
                </c:pt>
                <c:pt idx="5">
                  <c:v>143.27</c:v>
                </c:pt>
                <c:pt idx="6">
                  <c:v>150.860914121029</c:v>
                </c:pt>
                <c:pt idx="7">
                  <c:v>155.573565369088</c:v>
                </c:pt>
                <c:pt idx="8">
                  <c:v>155.968057814289</c:v>
                </c:pt>
                <c:pt idx="9">
                  <c:v>150.02508831348</c:v>
                </c:pt>
                <c:pt idx="10">
                  <c:v>145.453783639862</c:v>
                </c:pt>
                <c:pt idx="11">
                  <c:v>147.898546633624</c:v>
                </c:pt>
                <c:pt idx="12">
                  <c:v>176.012568970214</c:v>
                </c:pt>
                <c:pt idx="13">
                  <c:v>164.23986682262</c:v>
                </c:pt>
                <c:pt idx="14">
                  <c:v>160.219668627358</c:v>
                </c:pt>
                <c:pt idx="15">
                  <c:v>156.886073618753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[2023年上半年.xlsx]单项价格指数!$B$33</c:f>
              <c:strCache>
                <c:ptCount val="1"/>
                <c:pt idx="0">
                  <c:v>油料</c:v>
                </c:pt>
              </c:strCache>
            </c:strRef>
          </c:tx>
          <c:dLbls>
            <c:dLbl>
              <c:idx val="1"/>
              <c:layout>
                <c:manualLayout>
                  <c:x val="-0.0285280947566084"/>
                  <c:y val="-0.016446481531410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491116567961866"/>
                  <c:y val="-0.01280668643839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197168857431749"/>
                  <c:y val="-0.016581288757077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108334537050412"/>
                  <c:y val="0.02210838500943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236169290769897"/>
                  <c:y val="0.03491507144782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286003177813087"/>
                  <c:y val="0.035049878673496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0.0157446193846598"/>
                  <c:y val="-0.023995686168778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0"/>
                  <c:y val="-0.029522782421137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[2023年上半年.xlsx]单项价格指数!$C$24:$R$24</c:f>
              <c:strCache>
                <c:ptCount val="16"/>
                <c:pt idx="0">
                  <c:v>基期</c:v>
                </c:pt>
                <c:pt idx="1">
                  <c:v>2016年
上半年</c:v>
                </c:pt>
                <c:pt idx="2">
                  <c:v>2016年
下半年</c:v>
                </c:pt>
                <c:pt idx="3">
                  <c:v>2017年
上半年</c:v>
                </c:pt>
                <c:pt idx="4">
                  <c:v>2017年
下半年</c:v>
                </c:pt>
                <c:pt idx="5">
                  <c:v>2018年
上半年</c:v>
                </c:pt>
                <c:pt idx="6">
                  <c:v>2018年
下半年</c:v>
                </c:pt>
                <c:pt idx="7">
                  <c:v>2019年
上半年</c:v>
                </c:pt>
                <c:pt idx="8">
                  <c:v>2019年
下半年</c:v>
                </c:pt>
                <c:pt idx="9">
                  <c:v>2020年
上半年</c:v>
                </c:pt>
                <c:pt idx="10">
                  <c:v>2020年
下半年</c:v>
                </c:pt>
                <c:pt idx="11">
                  <c:v>2021年
上半年</c:v>
                </c:pt>
                <c:pt idx="12">
                  <c:v>2021年
下半年</c:v>
                </c:pt>
                <c:pt idx="13">
                  <c:v>2022年
上半年</c:v>
                </c:pt>
                <c:pt idx="14">
                  <c:v>2022年
下半年</c:v>
                </c:pt>
                <c:pt idx="15">
                  <c:v>2023年
上半年</c:v>
                </c:pt>
              </c:strCache>
            </c:strRef>
          </c:cat>
          <c:val>
            <c:numRef>
              <c:f>[2023年上半年.xlsx]单项价格指数!$C$33:$R$33</c:f>
              <c:numCache>
                <c:formatCode>0.00_);[Red]\(0.00\)</c:formatCode>
                <c:ptCount val="16"/>
                <c:pt idx="0">
                  <c:v>100</c:v>
                </c:pt>
                <c:pt idx="1">
                  <c:v>109.584233355796</c:v>
                </c:pt>
                <c:pt idx="2">
                  <c:v>115.66</c:v>
                </c:pt>
                <c:pt idx="3">
                  <c:v>128.39</c:v>
                </c:pt>
                <c:pt idx="4">
                  <c:v>125.38</c:v>
                </c:pt>
                <c:pt idx="5">
                  <c:v>137.71</c:v>
                </c:pt>
                <c:pt idx="6">
                  <c:v>149.821643782546</c:v>
                </c:pt>
                <c:pt idx="7">
                  <c:v>141.307041076328</c:v>
                </c:pt>
                <c:pt idx="8">
                  <c:v>138.526303510828</c:v>
                </c:pt>
                <c:pt idx="9">
                  <c:v>123.08325065819</c:v>
                </c:pt>
                <c:pt idx="10">
                  <c:v>115.11242572329</c:v>
                </c:pt>
                <c:pt idx="11">
                  <c:v>134.151358549137</c:v>
                </c:pt>
                <c:pt idx="12">
                  <c:v>148.332932115192</c:v>
                </c:pt>
                <c:pt idx="13">
                  <c:v>172.064832914149</c:v>
                </c:pt>
                <c:pt idx="14">
                  <c:v>189.782270819289</c:v>
                </c:pt>
                <c:pt idx="15">
                  <c:v>158.901829510263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1738496"/>
        <c:axId val="371740032"/>
      </c:lineChart>
      <c:catAx>
        <c:axId val="3717384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1740032"/>
        <c:crosses val="autoZero"/>
        <c:auto val="1"/>
        <c:lblAlgn val="ctr"/>
        <c:lblOffset val="100"/>
        <c:noMultiLvlLbl val="0"/>
      </c:catAx>
      <c:valAx>
        <c:axId val="371740032"/>
        <c:scaling>
          <c:orientation val="minMax"/>
          <c:max val="250"/>
          <c:min val="97"/>
        </c:scaling>
        <c:delete val="0"/>
        <c:axPos val="l"/>
        <c:majorGridlines/>
        <c:numFmt formatCode="0.00_);[Red]\(0.00\)" sourceLinked="1"/>
        <c:majorTickMark val="none"/>
        <c:minorTickMark val="none"/>
        <c:tickLblPos val="nextTo"/>
        <c:spPr>
          <a:ln w="9525" cap="flat" cmpd="sng" algn="ctr">
            <a:noFill/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71738496"/>
        <c:crosses val="autoZero"/>
        <c:crossBetween val="midCat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HYDROChina Croporation</Company>
  <Pages>3</Pages>
  <Words>8</Words>
  <Characters>50</Characters>
  <Lines>1</Lines>
  <Paragraphs>1</Paragraphs>
  <TotalTime>31</TotalTime>
  <ScaleCrop>false</ScaleCrop>
  <LinksUpToDate>false</LinksUpToDate>
  <CharactersWithSpaces>57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2018-05-11T02:52:00Z</dcterms:created>
  <dc:creator>曹曦</dc:creator>
  <cp:lastModifiedBy>罗郧红</cp:lastModifiedBy>
  <dcterms:modified xsi:type="dcterms:W3CDTF">2023-10-16T01:54:04Z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C69CF3853742452B89892BBFD108FC56_12</vt:lpwstr>
  </property>
</Properties>
</file>